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49688">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2"/>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580"/>
        <w:gridCol w:w="577"/>
        <w:gridCol w:w="560"/>
        <w:gridCol w:w="796"/>
        <w:gridCol w:w="3284"/>
      </w:tblGrid>
      <w:tr w14:paraId="5E94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exact"/>
          <w:jc w:val="center"/>
        </w:trPr>
        <w:tc>
          <w:tcPr>
            <w:tcW w:w="1450" w:type="dxa"/>
            <w:vMerge w:val="restart"/>
            <w:vAlign w:val="center"/>
          </w:tcPr>
          <w:p w14:paraId="302DEE44">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Merge w:val="restart"/>
            <w:vAlign w:val="center"/>
          </w:tcPr>
          <w:p w14:paraId="23ACC867">
            <w:pPr>
              <w:spacing w:line="260" w:lineRule="exact"/>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30本笔记里的绿茵人生</w:t>
            </w:r>
          </w:p>
        </w:tc>
        <w:tc>
          <w:tcPr>
            <w:tcW w:w="1356" w:type="dxa"/>
            <w:gridSpan w:val="2"/>
            <w:vAlign w:val="center"/>
          </w:tcPr>
          <w:p w14:paraId="381C2866">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14:paraId="472EED0E">
            <w:pPr>
              <w:spacing w:line="260" w:lineRule="exact"/>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典型报道</w:t>
            </w:r>
          </w:p>
        </w:tc>
      </w:tr>
      <w:tr w14:paraId="2FAB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exact"/>
          <w:jc w:val="center"/>
        </w:trPr>
        <w:tc>
          <w:tcPr>
            <w:tcW w:w="1450" w:type="dxa"/>
            <w:vMerge w:val="continue"/>
            <w:vAlign w:val="center"/>
          </w:tcPr>
          <w:p w14:paraId="2C7F93D9">
            <w:pPr>
              <w:spacing w:line="380" w:lineRule="exact"/>
              <w:ind w:firstLine="560"/>
              <w:rPr>
                <w:rFonts w:ascii="华文中宋" w:hAnsi="华文中宋" w:eastAsia="华文中宋"/>
                <w:color w:val="000000"/>
                <w:sz w:val="28"/>
              </w:rPr>
            </w:pPr>
          </w:p>
        </w:tc>
        <w:tc>
          <w:tcPr>
            <w:tcW w:w="3534" w:type="dxa"/>
            <w:gridSpan w:val="3"/>
            <w:vMerge w:val="continue"/>
            <w:vAlign w:val="center"/>
          </w:tcPr>
          <w:p w14:paraId="2587AD4C">
            <w:pPr>
              <w:spacing w:line="380" w:lineRule="exact"/>
              <w:ind w:firstLine="560"/>
              <w:rPr>
                <w:rFonts w:ascii="华文中宋" w:hAnsi="华文中宋" w:eastAsia="华文中宋"/>
                <w:color w:val="000000"/>
                <w:sz w:val="28"/>
              </w:rPr>
            </w:pPr>
          </w:p>
        </w:tc>
        <w:tc>
          <w:tcPr>
            <w:tcW w:w="1356" w:type="dxa"/>
            <w:gridSpan w:val="2"/>
            <w:vAlign w:val="center"/>
          </w:tcPr>
          <w:p w14:paraId="3AA2C5B6">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14:paraId="3F9DC614">
            <w:pPr>
              <w:spacing w:line="260" w:lineRule="exact"/>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报纸通讯</w:t>
            </w:r>
          </w:p>
        </w:tc>
      </w:tr>
      <w:tr w14:paraId="1A43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 w:hRule="exact"/>
          <w:jc w:val="center"/>
        </w:trPr>
        <w:tc>
          <w:tcPr>
            <w:tcW w:w="1450" w:type="dxa"/>
            <w:vMerge w:val="continue"/>
            <w:vAlign w:val="center"/>
          </w:tcPr>
          <w:p w14:paraId="50AE4A8F">
            <w:pPr>
              <w:spacing w:line="380" w:lineRule="exact"/>
              <w:ind w:firstLine="560"/>
              <w:rPr>
                <w:rFonts w:ascii="华文中宋" w:hAnsi="华文中宋" w:eastAsia="华文中宋"/>
                <w:color w:val="000000"/>
                <w:sz w:val="28"/>
              </w:rPr>
            </w:pPr>
          </w:p>
        </w:tc>
        <w:tc>
          <w:tcPr>
            <w:tcW w:w="3534" w:type="dxa"/>
            <w:gridSpan w:val="3"/>
            <w:vMerge w:val="continue"/>
            <w:vAlign w:val="center"/>
          </w:tcPr>
          <w:p w14:paraId="38A999AF">
            <w:pPr>
              <w:spacing w:line="380" w:lineRule="exact"/>
              <w:ind w:firstLine="560"/>
              <w:rPr>
                <w:rFonts w:ascii="华文中宋" w:hAnsi="华文中宋" w:eastAsia="华文中宋"/>
                <w:color w:val="000000"/>
                <w:sz w:val="28"/>
              </w:rPr>
            </w:pPr>
          </w:p>
        </w:tc>
        <w:tc>
          <w:tcPr>
            <w:tcW w:w="1356" w:type="dxa"/>
            <w:gridSpan w:val="2"/>
            <w:vAlign w:val="center"/>
          </w:tcPr>
          <w:p w14:paraId="2AD5C4CD">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284" w:type="dxa"/>
            <w:vAlign w:val="center"/>
          </w:tcPr>
          <w:p w14:paraId="61D644EA">
            <w:pPr>
              <w:spacing w:line="260" w:lineRule="exact"/>
              <w:jc w:val="center"/>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中文</w:t>
            </w:r>
          </w:p>
        </w:tc>
      </w:tr>
      <w:tr w14:paraId="5FB4B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50" w:type="dxa"/>
            <w:vAlign w:val="center"/>
          </w:tcPr>
          <w:p w14:paraId="7C1B739E">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14:paraId="7E5D46DC">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3534" w:type="dxa"/>
            <w:gridSpan w:val="3"/>
            <w:vAlign w:val="center"/>
          </w:tcPr>
          <w:p w14:paraId="33D8428B">
            <w:pPr>
              <w:spacing w:line="260" w:lineRule="exact"/>
              <w:jc w:val="center"/>
              <w:rPr>
                <w:rFonts w:hint="default" w:ascii="仿宋_GB2312" w:hAnsi="仿宋_GB2312" w:eastAsia="仿宋_GB2312" w:cs="仿宋_GB2312"/>
                <w:color w:val="000000"/>
                <w:sz w:val="21"/>
                <w:szCs w:val="21"/>
                <w:lang w:val="en-US" w:eastAsia="zh-CN"/>
              </w:rPr>
            </w:pPr>
            <w:r>
              <w:rPr>
                <w:rFonts w:hint="eastAsia" w:hAnsi="仿宋_GB2312" w:cs="仿宋_GB2312"/>
                <w:color w:val="000000"/>
                <w:sz w:val="21"/>
                <w:szCs w:val="21"/>
                <w:lang w:val="en-US" w:eastAsia="zh-CN"/>
              </w:rPr>
              <w:t>李雪芹、裴维维、蔡文龙</w:t>
            </w:r>
          </w:p>
        </w:tc>
        <w:tc>
          <w:tcPr>
            <w:tcW w:w="1356" w:type="dxa"/>
            <w:gridSpan w:val="2"/>
            <w:vAlign w:val="center"/>
          </w:tcPr>
          <w:p w14:paraId="37028BE1">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3284" w:type="dxa"/>
            <w:vAlign w:val="center"/>
          </w:tcPr>
          <w:p w14:paraId="578C549C">
            <w:pPr>
              <w:spacing w:line="260" w:lineRule="exact"/>
              <w:jc w:val="center"/>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易焕军</w:t>
            </w:r>
            <w:r>
              <w:rPr>
                <w:rFonts w:hint="eastAsia" w:hAnsi="仿宋_GB2312" w:cs="仿宋_GB2312"/>
                <w:color w:val="000000"/>
                <w:sz w:val="21"/>
                <w:szCs w:val="21"/>
                <w:lang w:val="en-US" w:eastAsia="zh-CN"/>
              </w:rPr>
              <w:t>、</w:t>
            </w:r>
            <w:r>
              <w:rPr>
                <w:rFonts w:hint="eastAsia" w:ascii="仿宋_GB2312" w:hAnsi="仿宋_GB2312" w:eastAsia="仿宋_GB2312" w:cs="仿宋_GB2312"/>
                <w:color w:val="000000"/>
                <w:sz w:val="21"/>
                <w:szCs w:val="21"/>
                <w:lang w:val="en-US" w:eastAsia="zh-CN"/>
              </w:rPr>
              <w:t>曾玲</w:t>
            </w:r>
            <w:r>
              <w:rPr>
                <w:rFonts w:hint="eastAsia" w:hAnsi="仿宋_GB2312" w:cs="仿宋_GB2312"/>
                <w:color w:val="000000"/>
                <w:sz w:val="21"/>
                <w:szCs w:val="21"/>
                <w:lang w:val="en-US" w:eastAsia="zh-CN"/>
              </w:rPr>
              <w:t>、王维凯</w:t>
            </w:r>
          </w:p>
        </w:tc>
      </w:tr>
      <w:tr w14:paraId="6D07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1450" w:type="dxa"/>
            <w:vAlign w:val="center"/>
          </w:tcPr>
          <w:p w14:paraId="7B821390">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3534" w:type="dxa"/>
            <w:gridSpan w:val="3"/>
            <w:vAlign w:val="center"/>
          </w:tcPr>
          <w:p w14:paraId="27B87CCD">
            <w:pPr>
              <w:spacing w:line="260" w:lineRule="exact"/>
              <w:jc w:val="center"/>
              <w:rPr>
                <w:rFonts w:hint="eastAsia" w:hAnsi="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常德日报</w:t>
            </w:r>
            <w:r>
              <w:rPr>
                <w:rFonts w:hint="eastAsia" w:hAnsi="仿宋_GB2312" w:cs="仿宋_GB2312"/>
                <w:color w:val="000000"/>
                <w:sz w:val="21"/>
                <w:szCs w:val="21"/>
                <w:lang w:val="en-US" w:eastAsia="zh-CN"/>
              </w:rPr>
              <w:t>社文教新闻部、</w:t>
            </w:r>
          </w:p>
          <w:p w14:paraId="537A3B29">
            <w:pPr>
              <w:spacing w:line="260" w:lineRule="exact"/>
              <w:jc w:val="center"/>
              <w:rPr>
                <w:rFonts w:hint="default" w:ascii="仿宋_GB2312" w:hAnsi="仿宋_GB2312" w:eastAsia="仿宋_GB2312" w:cs="仿宋_GB2312"/>
                <w:color w:val="000000"/>
                <w:sz w:val="21"/>
                <w:szCs w:val="21"/>
                <w:lang w:val="en-US" w:eastAsia="zh-CN"/>
              </w:rPr>
            </w:pPr>
            <w:bookmarkStart w:id="0" w:name="_GoBack"/>
            <w:bookmarkEnd w:id="0"/>
            <w:r>
              <w:rPr>
                <w:rFonts w:hint="eastAsia" w:hAnsi="仿宋_GB2312" w:cs="仿宋_GB2312"/>
                <w:color w:val="000000"/>
                <w:sz w:val="21"/>
                <w:szCs w:val="21"/>
                <w:lang w:val="en-US" w:eastAsia="zh-CN"/>
              </w:rPr>
              <w:t>社会民生新闻部</w:t>
            </w:r>
          </w:p>
        </w:tc>
        <w:tc>
          <w:tcPr>
            <w:tcW w:w="1356" w:type="dxa"/>
            <w:gridSpan w:val="2"/>
            <w:vAlign w:val="center"/>
          </w:tcPr>
          <w:p w14:paraId="184E9114">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3284" w:type="dxa"/>
            <w:shd w:val="clear" w:color="auto" w:fill="auto"/>
            <w:vAlign w:val="center"/>
          </w:tcPr>
          <w:p w14:paraId="411D5E40">
            <w:pPr>
              <w:spacing w:line="260" w:lineRule="exact"/>
              <w:jc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 w:val="21"/>
                <w:szCs w:val="21"/>
                <w:lang w:val="en-US" w:eastAsia="zh-CN"/>
              </w:rPr>
              <w:t>常德日报</w:t>
            </w:r>
            <w:r>
              <w:rPr>
                <w:rFonts w:hint="eastAsia" w:hAnsi="仿宋_GB2312" w:cs="仿宋_GB2312"/>
                <w:color w:val="000000"/>
                <w:sz w:val="21"/>
                <w:szCs w:val="21"/>
                <w:lang w:val="en-US" w:eastAsia="zh-CN"/>
              </w:rPr>
              <w:t>社</w:t>
            </w:r>
          </w:p>
        </w:tc>
      </w:tr>
      <w:tr w14:paraId="047AE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exact"/>
          <w:jc w:val="center"/>
        </w:trPr>
        <w:tc>
          <w:tcPr>
            <w:tcW w:w="1450" w:type="dxa"/>
            <w:vAlign w:val="center"/>
          </w:tcPr>
          <w:p w14:paraId="0EC1AD2E">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3534" w:type="dxa"/>
            <w:gridSpan w:val="3"/>
            <w:vAlign w:val="center"/>
          </w:tcPr>
          <w:p w14:paraId="168737EC">
            <w:pPr>
              <w:spacing w:line="260" w:lineRule="exact"/>
              <w:jc w:val="center"/>
              <w:rPr>
                <w:rFonts w:hint="eastAsia" w:ascii="仿宋_GB2312" w:hAnsi="仿宋_GB2312" w:eastAsia="仿宋_GB2312" w:cs="仿宋_GB2312"/>
                <w:color w:val="000000"/>
                <w:sz w:val="21"/>
                <w:szCs w:val="21"/>
                <w:lang w:val="en-US" w:eastAsia="zh-CN"/>
              </w:rPr>
            </w:pPr>
            <w:r>
              <w:rPr>
                <w:rFonts w:hint="eastAsia" w:hAnsi="仿宋_GB2312" w:cs="仿宋_GB2312"/>
                <w:color w:val="000000"/>
                <w:sz w:val="21"/>
                <w:szCs w:val="21"/>
                <w:lang w:val="en-US" w:eastAsia="zh-CN"/>
              </w:rPr>
              <w:t>常德日报 4</w:t>
            </w:r>
            <w:r>
              <w:rPr>
                <w:rFonts w:hint="eastAsia" w:ascii="仿宋_GB2312" w:hAnsi="仿宋_GB2312" w:eastAsia="仿宋_GB2312" w:cs="仿宋_GB2312"/>
                <w:color w:val="000000"/>
                <w:sz w:val="21"/>
                <w:szCs w:val="21"/>
                <w:lang w:val="en-US" w:eastAsia="zh-CN"/>
              </w:rPr>
              <w:t>版</w:t>
            </w:r>
          </w:p>
        </w:tc>
        <w:tc>
          <w:tcPr>
            <w:tcW w:w="1356" w:type="dxa"/>
            <w:gridSpan w:val="2"/>
            <w:vAlign w:val="center"/>
          </w:tcPr>
          <w:p w14:paraId="1417CB9C">
            <w:pPr>
              <w:keepNext w:val="0"/>
              <w:keepLines w:val="0"/>
              <w:pageBreakBefore w:val="0"/>
              <w:widowControl w:val="0"/>
              <w:kinsoku/>
              <w:wordWrap/>
              <w:overflowPunct/>
              <w:topLinePunct w:val="0"/>
              <w:autoSpaceDE/>
              <w:autoSpaceDN/>
              <w:bidi w:val="0"/>
              <w:adjustRightInd/>
              <w:snapToGrid/>
              <w:spacing w:line="320" w:lineRule="exact"/>
              <w:textAlignment w:val="auto"/>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3284" w:type="dxa"/>
            <w:vAlign w:val="center"/>
          </w:tcPr>
          <w:p w14:paraId="4715CDB8">
            <w:pPr>
              <w:spacing w:line="260" w:lineRule="exact"/>
              <w:jc w:val="center"/>
              <w:rPr>
                <w:rFonts w:hint="default"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202</w:t>
            </w:r>
            <w:r>
              <w:rPr>
                <w:rFonts w:hint="eastAsia" w:hAnsi="仿宋_GB2312" w:cs="仿宋_GB2312"/>
                <w:color w:val="000000"/>
                <w:sz w:val="21"/>
                <w:szCs w:val="21"/>
                <w:lang w:val="en-US" w:eastAsia="zh-CN"/>
              </w:rPr>
              <w:t>5</w:t>
            </w:r>
            <w:r>
              <w:rPr>
                <w:rFonts w:hint="eastAsia" w:ascii="仿宋_GB2312" w:hAnsi="仿宋_GB2312" w:eastAsia="仿宋_GB2312" w:cs="仿宋_GB2312"/>
                <w:color w:val="000000"/>
                <w:sz w:val="21"/>
                <w:szCs w:val="21"/>
                <w:lang w:val="en-US" w:eastAsia="zh-CN"/>
              </w:rPr>
              <w:t>年</w:t>
            </w:r>
            <w:r>
              <w:rPr>
                <w:rFonts w:hint="eastAsia" w:hAnsi="仿宋_GB2312" w:cs="仿宋_GB2312"/>
                <w:color w:val="000000"/>
                <w:sz w:val="21"/>
                <w:szCs w:val="21"/>
                <w:lang w:val="en-US" w:eastAsia="zh-CN"/>
              </w:rPr>
              <w:t>12</w:t>
            </w:r>
            <w:r>
              <w:rPr>
                <w:rFonts w:hint="eastAsia" w:ascii="仿宋_GB2312" w:hAnsi="仿宋_GB2312" w:eastAsia="仿宋_GB2312" w:cs="仿宋_GB2312"/>
                <w:color w:val="000000"/>
                <w:sz w:val="21"/>
                <w:szCs w:val="21"/>
                <w:lang w:val="en-US" w:eastAsia="zh-CN"/>
              </w:rPr>
              <w:t>月2</w:t>
            </w:r>
            <w:r>
              <w:rPr>
                <w:rFonts w:hint="eastAsia" w:hAnsi="仿宋_GB2312" w:cs="仿宋_GB2312"/>
                <w:color w:val="000000"/>
                <w:sz w:val="21"/>
                <w:szCs w:val="21"/>
                <w:lang w:val="en-US" w:eastAsia="zh-CN"/>
              </w:rPr>
              <w:t>5</w:t>
            </w:r>
            <w:r>
              <w:rPr>
                <w:rFonts w:hint="eastAsia" w:ascii="仿宋_GB2312" w:hAnsi="仿宋_GB2312" w:eastAsia="仿宋_GB2312" w:cs="仿宋_GB2312"/>
                <w:color w:val="000000"/>
                <w:sz w:val="21"/>
                <w:szCs w:val="21"/>
                <w:lang w:val="en-US" w:eastAsia="zh-CN"/>
              </w:rPr>
              <w:t>日</w:t>
            </w:r>
          </w:p>
        </w:tc>
      </w:tr>
      <w:tr w14:paraId="16D6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2827" w:type="dxa"/>
            <w:gridSpan w:val="2"/>
            <w:vAlign w:val="center"/>
          </w:tcPr>
          <w:p w14:paraId="7F182E8D">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797" w:type="dxa"/>
            <w:gridSpan w:val="5"/>
            <w:vAlign w:val="center"/>
          </w:tcPr>
          <w:p w14:paraId="76715F2B">
            <w:pPr>
              <w:spacing w:line="260" w:lineRule="exact"/>
              <w:rPr>
                <w:rFonts w:hAnsi="仿宋_GB2312" w:cs="仿宋_GB2312"/>
                <w:color w:val="000000"/>
                <w:sz w:val="21"/>
                <w:szCs w:val="21"/>
              </w:rPr>
            </w:pPr>
            <w:r>
              <w:rPr>
                <w:rFonts w:hint="eastAsia" w:hAnsi="仿宋_GB2312" w:cs="仿宋_GB2312"/>
                <w:color w:val="000000"/>
                <w:sz w:val="21"/>
                <w:szCs w:val="21"/>
              </w:rPr>
              <w:t>http://cdrb.cdyee.com/pc/content/202512/25/content_245291.html</w:t>
            </w:r>
          </w:p>
        </w:tc>
      </w:tr>
      <w:tr w14:paraId="12E05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0" w:hRule="atLeast"/>
          <w:jc w:val="center"/>
        </w:trPr>
        <w:tc>
          <w:tcPr>
            <w:tcW w:w="1450" w:type="dxa"/>
            <w:vAlign w:val="center"/>
          </w:tcPr>
          <w:p w14:paraId="20FE517D">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14:paraId="488FA415">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14:paraId="5C403914">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14:paraId="43F723DE">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14:paraId="77B17C14">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14:paraId="67A3C958">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14:paraId="48C5E1E3">
            <w:pPr>
              <w:spacing w:line="260" w:lineRule="exact"/>
              <w:jc w:val="both"/>
              <w:rPr>
                <w:rFonts w:hint="eastAsia" w:ascii="仿宋_GB2312" w:hAnsi="仿宋_GB2312" w:eastAsia="仿宋_GB2312" w:cs="仿宋_GB2312"/>
                <w:color w:val="000000"/>
                <w:sz w:val="21"/>
                <w:szCs w:val="21"/>
                <w:lang w:val="en-US" w:eastAsia="zh-CN"/>
              </w:rPr>
            </w:pPr>
            <w:r>
              <w:rPr>
                <w:rFonts w:hint="eastAsia" w:hAnsi="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lang w:val="en-US" w:eastAsia="zh-CN"/>
              </w:rPr>
              <w:t>2025年，“湘超”联赛热度空前，常德队荣获亚军。该队39名球员中90%为常德本土培养，其中20名中学生发挥了重要作用，近半数球员与常德队助理教练、常德芷兰实验学校体育教师段成功有着师承之缘。记者以此为切入点深入采访，聚焦以段成功为代表的基层青训工作者，揭示了“湘超”火爆现象背后足球人才的本土化路径与青训实践。</w:t>
            </w:r>
          </w:p>
          <w:p w14:paraId="4CF3F905">
            <w:pPr>
              <w:spacing w:line="260" w:lineRule="exact"/>
              <w:jc w:val="both"/>
              <w:rPr>
                <w:rFonts w:hint="eastAsia" w:ascii="仿宋_GB2312" w:hAnsi="仿宋_GB2312" w:eastAsia="仿宋_GB2312" w:cs="仿宋_GB2312"/>
                <w:color w:val="000000"/>
                <w:sz w:val="21"/>
                <w:szCs w:val="21"/>
                <w:lang w:val="en-US" w:eastAsia="zh-CN"/>
              </w:rPr>
            </w:pPr>
            <w:r>
              <w:rPr>
                <w:rFonts w:hint="eastAsia" w:hAnsi="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lang w:val="en-US" w:eastAsia="zh-CN"/>
              </w:rPr>
              <w:t>报道摒弃大而全的叙事方式，以段成功28年间写就的“30本笔记”作为核心叙事线索与精神象征。在乡村中学执教时写下的第一篇教学笔记，见证了他立志让家乡孩子接受专业足球训练的初心；笔记里“招进来，练得好，送得出”的承诺，与一批批足球少年的成长轨迹共同诠释了他长期坚守的育人理念；法国留学归来后，他带着记满先进青训理念的笔记本，毅然放弃“铁饭碗”与晋升机会，扎根于常德芷兰实验学校的绿茵场；笔记本中</w:t>
            </w:r>
            <w:r>
              <w:rPr>
                <w:rFonts w:hint="eastAsia" w:hAnsi="仿宋_GB2312" w:cs="仿宋_GB2312"/>
                <w:color w:val="000000"/>
                <w:sz w:val="21"/>
                <w:szCs w:val="21"/>
                <w:lang w:val="en-US" w:eastAsia="zh-CN"/>
              </w:rPr>
              <w:t>很少</w:t>
            </w:r>
            <w:r>
              <w:rPr>
                <w:rFonts w:hint="eastAsia" w:ascii="仿宋_GB2312" w:hAnsi="仿宋_GB2312" w:eastAsia="仿宋_GB2312" w:cs="仿宋_GB2312"/>
                <w:color w:val="000000"/>
                <w:sz w:val="21"/>
                <w:szCs w:val="21"/>
                <w:lang w:val="en-US" w:eastAsia="zh-CN"/>
              </w:rPr>
              <w:t>提及的家人，则成为他奋斗路上最坚实的后盾。</w:t>
            </w:r>
          </w:p>
          <w:p w14:paraId="592900F8">
            <w:pPr>
              <w:spacing w:line="260" w:lineRule="exact"/>
              <w:jc w:val="both"/>
              <w:rPr>
                <w:rFonts w:hint="eastAsia" w:ascii="仿宋_GB2312" w:hAnsi="仿宋_GB2312" w:eastAsia="仿宋_GB2312" w:cs="仿宋_GB2312"/>
                <w:color w:val="000000"/>
                <w:sz w:val="21"/>
                <w:szCs w:val="21"/>
                <w:lang w:val="en-US" w:eastAsia="zh-CN"/>
              </w:rPr>
            </w:pPr>
            <w:r>
              <w:rPr>
                <w:rFonts w:hint="eastAsia" w:hAnsi="仿宋_GB2312" w:cs="仿宋_GB2312"/>
                <w:color w:val="000000"/>
                <w:sz w:val="21"/>
                <w:szCs w:val="21"/>
                <w:lang w:val="en-US" w:eastAsia="zh-CN"/>
              </w:rPr>
              <w:t xml:space="preserve">    </w:t>
            </w:r>
            <w:r>
              <w:rPr>
                <w:rFonts w:hint="eastAsia" w:ascii="仿宋_GB2312" w:hAnsi="仿宋_GB2312" w:eastAsia="仿宋_GB2312" w:cs="仿宋_GB2312"/>
                <w:color w:val="000000"/>
                <w:sz w:val="21"/>
                <w:szCs w:val="21"/>
                <w:lang w:val="en-US" w:eastAsia="zh-CN"/>
              </w:rPr>
              <w:t>本文角度独特、采访深入、细节动人，并同步制作专题视频，通过特写镜头呈现笔</w:t>
            </w:r>
          </w:p>
          <w:p w14:paraId="7EEFD240">
            <w:pPr>
              <w:spacing w:line="260" w:lineRule="exact"/>
              <w:jc w:val="both"/>
              <w:rPr>
                <w:rFonts w:hint="eastAsia" w:ascii="仿宋_GB2312" w:hAnsi="仿宋_GB2312" w:eastAsia="仿宋_GB2312" w:cs="仿宋_GB2312"/>
                <w:color w:val="000000"/>
                <w:w w:val="100"/>
                <w:sz w:val="21"/>
                <w:szCs w:val="21"/>
                <w:lang w:val="en-US" w:eastAsia="zh-CN"/>
              </w:rPr>
            </w:pPr>
            <w:r>
              <w:rPr>
                <w:rFonts w:hint="eastAsia" w:ascii="仿宋_GB2312" w:hAnsi="仿宋_GB2312" w:eastAsia="仿宋_GB2312" w:cs="仿宋_GB2312"/>
                <w:color w:val="000000"/>
                <w:sz w:val="21"/>
                <w:szCs w:val="21"/>
                <w:lang w:val="en-US" w:eastAsia="zh-CN"/>
              </w:rPr>
              <w:t>记内容，穿插训练、比赛及访谈画面，在移动平台实现二次广泛传播。</w:t>
            </w:r>
          </w:p>
        </w:tc>
      </w:tr>
      <w:tr w14:paraId="69A1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9" w:hRule="exact"/>
          <w:jc w:val="center"/>
        </w:trPr>
        <w:tc>
          <w:tcPr>
            <w:tcW w:w="1450" w:type="dxa"/>
            <w:vAlign w:val="center"/>
          </w:tcPr>
          <w:p w14:paraId="502D0337">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14:paraId="32589FDB">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14:paraId="59EBCD0B">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14:paraId="638250B9">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14:paraId="622486C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仿宋_GB2312" w:hAnsi="仿宋_GB2312" w:eastAsia="仿宋_GB2312" w:cs="仿宋_GB2312"/>
                <w:color w:val="000000"/>
                <w:w w:val="100"/>
                <w:sz w:val="21"/>
                <w:szCs w:val="21"/>
                <w:lang w:val="en-US" w:eastAsia="zh-CN"/>
              </w:rPr>
            </w:pPr>
            <w:r>
              <w:rPr>
                <w:rFonts w:hint="eastAsia" w:ascii="仿宋_GB2312" w:hAnsi="仿宋_GB2312" w:eastAsia="仿宋_GB2312" w:cs="仿宋_GB2312"/>
                <w:color w:val="000000"/>
                <w:sz w:val="21"/>
                <w:szCs w:val="21"/>
                <w:lang w:val="en-US" w:eastAsia="zh-CN"/>
              </w:rPr>
              <w:t>报道</w:t>
            </w:r>
            <w:r>
              <w:rPr>
                <w:rFonts w:hint="eastAsia" w:hAnsi="仿宋_GB2312" w:cs="仿宋_GB2312"/>
                <w:color w:val="000000"/>
                <w:sz w:val="21"/>
                <w:szCs w:val="21"/>
                <w:lang w:val="en-US" w:eastAsia="zh-CN"/>
              </w:rPr>
              <w:t>推出</w:t>
            </w:r>
            <w:r>
              <w:rPr>
                <w:rFonts w:hint="eastAsia" w:ascii="仿宋_GB2312" w:hAnsi="仿宋_GB2312" w:eastAsia="仿宋_GB2312" w:cs="仿宋_GB2312"/>
                <w:color w:val="000000"/>
                <w:sz w:val="21"/>
                <w:szCs w:val="21"/>
                <w:lang w:val="en-US" w:eastAsia="zh-CN"/>
              </w:rPr>
              <w:t>后，在常德乃至湖南体育、教育领域引起热烈反响，</w:t>
            </w:r>
            <w:r>
              <w:rPr>
                <w:rFonts w:hint="eastAsia" w:hAnsi="仿宋_GB2312" w:cs="仿宋_GB2312"/>
                <w:color w:val="000000"/>
                <w:sz w:val="21"/>
                <w:szCs w:val="21"/>
                <w:lang w:val="en-US" w:eastAsia="zh-CN"/>
              </w:rPr>
              <w:t>被</w:t>
            </w:r>
            <w:r>
              <w:rPr>
                <w:rFonts w:hint="eastAsia" w:ascii="仿宋_GB2312" w:hAnsi="仿宋_GB2312" w:eastAsia="仿宋_GB2312" w:cs="仿宋_GB2312"/>
                <w:color w:val="000000"/>
                <w:sz w:val="21"/>
                <w:szCs w:val="21"/>
                <w:lang w:val="en-US" w:eastAsia="zh-CN"/>
              </w:rPr>
              <w:t>学习强国等平台转载。段成功的故事被誉为“浮躁时代的一股清流”，为“湘超”现象注入了更厚重的文化内涵。众多基层教师从中获得鼓舞，公众视线也从赛事本身延伸至对足球青训体系与体育育人价值的深层思考。</w:t>
            </w:r>
          </w:p>
        </w:tc>
      </w:tr>
      <w:tr w14:paraId="4A83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7" w:hRule="exact"/>
          <w:jc w:val="center"/>
        </w:trPr>
        <w:tc>
          <w:tcPr>
            <w:tcW w:w="1450" w:type="dxa"/>
            <w:vAlign w:val="center"/>
          </w:tcPr>
          <w:p w14:paraId="052A2E96">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14:paraId="08404775">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14:paraId="2D6BD59A">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14:paraId="7094780E">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14:paraId="6204A388">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14:paraId="573675DF">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14:paraId="7DED45B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color w:val="000000"/>
                <w:w w:val="100"/>
                <w:sz w:val="21"/>
                <w:szCs w:val="21"/>
                <w:lang w:val="en-US" w:eastAsia="zh-CN"/>
              </w:rPr>
            </w:pPr>
            <w:r>
              <w:rPr>
                <w:rFonts w:hint="eastAsia" w:ascii="仿宋_GB2312" w:hAnsi="仿宋_GB2312" w:eastAsia="仿宋_GB2312" w:cs="仿宋_GB2312"/>
                <w:color w:val="000000"/>
                <w:sz w:val="21"/>
                <w:szCs w:val="21"/>
                <w:lang w:val="en-US" w:eastAsia="zh-CN"/>
              </w:rPr>
              <w:t>该作品紧扣时代主题，深入基层挖掘典型人物，以扎实的叙事和真挚的情感，生动塑造了默默奉献的基层体育教师形象，展现出较强的新闻采写与策划能力。作品传播效果显著，具有积极的社会示范意义</w:t>
            </w:r>
            <w:r>
              <w:rPr>
                <w:rFonts w:hint="eastAsia" w:ascii="仿宋_GB2312" w:hAnsi="仿宋_GB2312" w:eastAsia="仿宋_GB2312" w:cs="仿宋_GB2312"/>
                <w:color w:val="000000"/>
                <w:w w:val="100"/>
                <w:sz w:val="21"/>
                <w:szCs w:val="21"/>
                <w:lang w:val="en-US" w:eastAsia="zh-CN"/>
              </w:rPr>
              <w:t>。</w:t>
            </w:r>
          </w:p>
          <w:p w14:paraId="1D1EABB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华文中宋" w:hAnsi="华文中宋" w:eastAsia="华文中宋"/>
                <w:color w:val="000000"/>
                <w:spacing w:val="-2"/>
                <w:sz w:val="28"/>
              </w:rPr>
            </w:pPr>
            <w:r>
              <w:rPr>
                <w:rFonts w:hint="eastAsia" w:ascii="仿宋_GB2312" w:hAnsi="仿宋_GB2312" w:eastAsia="仿宋_GB2312" w:cs="仿宋_GB2312"/>
                <w:color w:val="000000"/>
                <w:w w:val="100"/>
                <w:sz w:val="21"/>
                <w:szCs w:val="21"/>
                <w:lang w:val="en-US" w:eastAsia="zh-CN"/>
              </w:rPr>
              <w:t xml:space="preserve">同意推荐。 </w:t>
            </w:r>
            <w:r>
              <w:rPr>
                <w:rFonts w:hint="eastAsia" w:ascii="华文中宋" w:hAnsi="华文中宋" w:eastAsia="华文中宋"/>
                <w:color w:val="000000"/>
                <w:spacing w:val="-2"/>
                <w:sz w:val="28"/>
              </w:rPr>
              <w:t xml:space="preserve">                 </w:t>
            </w:r>
          </w:p>
          <w:p w14:paraId="6498BB12">
            <w:pPr>
              <w:spacing w:line="360" w:lineRule="exact"/>
              <w:ind w:firstLine="2208" w:firstLineChars="800"/>
              <w:jc w:val="both"/>
              <w:rPr>
                <w:rFonts w:hint="eastAsia"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z w:val="28"/>
              </w:rPr>
              <w:t>（盖单位公章）</w:t>
            </w:r>
          </w:p>
          <w:p w14:paraId="30A71758">
            <w:pPr>
              <w:ind w:left="3840" w:leftChars="1600"/>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w:t>
            </w:r>
            <w:r>
              <w:rPr>
                <w:rFonts w:hint="eastAsia" w:ascii="华文中宋" w:hAnsi="华文中宋" w:eastAsia="华文中宋"/>
                <w:color w:val="000000"/>
                <w:sz w:val="28"/>
                <w:lang w:val="en-US" w:eastAsia="zh-CN"/>
              </w:rPr>
              <w:t>6</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2A491090">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1450" w:type="dxa"/>
            <w:tcBorders>
              <w:bottom w:val="single" w:color="auto" w:sz="4" w:space="0"/>
            </w:tcBorders>
            <w:vAlign w:val="center"/>
          </w:tcPr>
          <w:p w14:paraId="3E1CD338">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2"/>
            <w:tcBorders>
              <w:bottom w:val="single" w:color="auto" w:sz="4" w:space="0"/>
            </w:tcBorders>
            <w:vAlign w:val="center"/>
          </w:tcPr>
          <w:p w14:paraId="4C5D27AF">
            <w:pPr>
              <w:spacing w:line="260" w:lineRule="exact"/>
              <w:jc w:val="center"/>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李雪芹</w:t>
            </w:r>
          </w:p>
        </w:tc>
        <w:tc>
          <w:tcPr>
            <w:tcW w:w="1137" w:type="dxa"/>
            <w:gridSpan w:val="2"/>
            <w:tcBorders>
              <w:bottom w:val="single" w:color="auto" w:sz="4" w:space="0"/>
            </w:tcBorders>
            <w:vAlign w:val="center"/>
          </w:tcPr>
          <w:p w14:paraId="42FF0D11">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4080" w:type="dxa"/>
            <w:gridSpan w:val="2"/>
            <w:tcBorders>
              <w:bottom w:val="single" w:color="auto" w:sz="4" w:space="0"/>
            </w:tcBorders>
            <w:vAlign w:val="center"/>
          </w:tcPr>
          <w:p w14:paraId="608EF86B">
            <w:pPr>
              <w:spacing w:line="260" w:lineRule="exact"/>
              <w:jc w:val="center"/>
              <w:rPr>
                <w:rFonts w:hint="default" w:hAnsi="仿宋_GB2312" w:cs="仿宋_GB2312"/>
                <w:color w:val="000000"/>
                <w:sz w:val="21"/>
                <w:szCs w:val="21"/>
                <w:lang w:val="en-US" w:eastAsia="zh-CN"/>
              </w:rPr>
            </w:pPr>
            <w:r>
              <w:rPr>
                <w:rFonts w:hint="eastAsia" w:hAnsi="仿宋_GB2312" w:cs="仿宋_GB2312"/>
                <w:color w:val="000000"/>
                <w:sz w:val="21"/>
                <w:szCs w:val="21"/>
                <w:lang w:val="en-US" w:eastAsia="zh-CN"/>
              </w:rPr>
              <w:t>13787861915</w:t>
            </w:r>
          </w:p>
        </w:tc>
      </w:tr>
    </w:tbl>
    <w:p w14:paraId="2F3CACE1">
      <w:pPr>
        <w:jc w:val="center"/>
        <w:rPr>
          <w:rFonts w:ascii="宋体" w:hAnsi="宋体" w:eastAsia="宋体" w:cs="宋体"/>
          <w:sz w:val="24"/>
          <w:szCs w:val="24"/>
        </w:rPr>
      </w:pPr>
    </w:p>
    <w:p w14:paraId="716D1EA6">
      <w:pPr>
        <w:jc w:val="center"/>
        <w:rPr>
          <w:rFonts w:ascii="宋体" w:hAnsi="宋体" w:eastAsia="宋体" w:cs="宋体"/>
          <w:sz w:val="24"/>
          <w:szCs w:val="24"/>
        </w:rPr>
      </w:pPr>
    </w:p>
    <w:p w14:paraId="6EB8E7F2">
      <w:pPr>
        <w:jc w:val="center"/>
        <w:rPr>
          <w:rFonts w:ascii="宋体" w:hAnsi="宋体" w:eastAsia="宋体" w:cs="宋体"/>
          <w:sz w:val="24"/>
          <w:szCs w:val="24"/>
        </w:rPr>
      </w:pPr>
      <w:r>
        <w:rPr>
          <w:rFonts w:ascii="宋体" w:hAnsi="宋体" w:eastAsia="宋体" w:cs="宋体"/>
          <w:sz w:val="24"/>
          <w:szCs w:val="24"/>
        </w:rPr>
        <w:drawing>
          <wp:inline distT="0" distB="0" distL="114300" distR="114300">
            <wp:extent cx="3455670" cy="3455670"/>
            <wp:effectExtent l="0" t="0" r="11430" b="1143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6"/>
                    <a:stretch>
                      <a:fillRect/>
                    </a:stretch>
                  </pic:blipFill>
                  <pic:spPr>
                    <a:xfrm>
                      <a:off x="0" y="0"/>
                      <a:ext cx="3455670" cy="3455670"/>
                    </a:xfrm>
                    <a:prstGeom prst="rect">
                      <a:avLst/>
                    </a:prstGeom>
                    <a:noFill/>
                    <a:ln w="9525">
                      <a:noFill/>
                    </a:ln>
                  </pic:spPr>
                </pic:pic>
              </a:graphicData>
            </a:graphic>
          </wp:inline>
        </w:drawing>
      </w:r>
    </w:p>
    <w:p w14:paraId="3B8B6DD8">
      <w:pPr>
        <w:jc w:val="center"/>
        <w:rPr>
          <w:rFonts w:ascii="宋体" w:hAnsi="宋体" w:eastAsia="宋体" w:cs="宋体"/>
          <w:sz w:val="21"/>
          <w:szCs w:val="21"/>
        </w:rPr>
      </w:pPr>
      <w:r>
        <w:rPr>
          <w:rFonts w:hint="eastAsia" w:ascii="仿宋_GB2312" w:hAnsi="仿宋_GB2312" w:eastAsia="仿宋_GB2312" w:cs="仿宋_GB2312"/>
          <w:color w:val="000000"/>
          <w:sz w:val="21"/>
          <w:szCs w:val="21"/>
          <w:lang w:val="en-US" w:eastAsia="zh-CN"/>
        </w:rPr>
        <w:t>30本笔记里的绿茵人生</w:t>
      </w:r>
    </w:p>
    <w:p w14:paraId="01931C7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embedRegular r:id="rId1" w:fontKey="{D7CC187F-1395-450A-9977-82956A14F3ED}"/>
  </w:font>
  <w:font w:name="方正小标宋简体">
    <w:panose1 w:val="03000509000000000000"/>
    <w:charset w:val="86"/>
    <w:family w:val="auto"/>
    <w:pitch w:val="default"/>
    <w:sig w:usb0="00000001" w:usb1="080E0000" w:usb2="00000000" w:usb3="00000000" w:csb0="00040000" w:csb1="00000000"/>
    <w:embedRegular r:id="rId2" w:fontKey="{AEDF6BEB-1DDC-4EE3-AECA-338766387617}"/>
  </w:font>
  <w:font w:name="华文中宋">
    <w:panose1 w:val="02010600040101010101"/>
    <w:charset w:val="86"/>
    <w:family w:val="auto"/>
    <w:pitch w:val="default"/>
    <w:sig w:usb0="00000287" w:usb1="080F0000" w:usb2="00000000" w:usb3="00000000" w:csb0="0004009F" w:csb1="DFD70000"/>
    <w:embedRegular r:id="rId3" w:fontKey="{437E8FB3-2948-4734-AA8F-A10830096DD6}"/>
  </w:font>
  <w:font w:name="仿宋">
    <w:panose1 w:val="02010609060101010101"/>
    <w:charset w:val="86"/>
    <w:family w:val="modern"/>
    <w:pitch w:val="default"/>
    <w:sig w:usb0="800002BF" w:usb1="38CF7CFA" w:usb2="00000016" w:usb3="00000000" w:csb0="00040001" w:csb1="00000000"/>
    <w:embedRegular r:id="rId4" w:fontKey="{8927BB37-DAD4-4FCC-8688-A25117EFF709}"/>
  </w:font>
  <w:font w:name="Arial Rounded MT Bold">
    <w:panose1 w:val="020F0704030504030204"/>
    <w:charset w:val="00"/>
    <w:family w:val="auto"/>
    <w:pitch w:val="default"/>
    <w:sig w:usb0="00000003" w:usb1="00000000" w:usb2="00000000" w:usb3="00000000" w:csb0="2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72564A"/>
    <w:rsid w:val="2AF3331D"/>
    <w:rsid w:val="2D5256B1"/>
    <w:rsid w:val="2D66427F"/>
    <w:rsid w:val="314E1629"/>
    <w:rsid w:val="3A930D78"/>
    <w:rsid w:val="3AA75770"/>
    <w:rsid w:val="3B9F078E"/>
    <w:rsid w:val="3DB4423A"/>
    <w:rsid w:val="48627F4F"/>
    <w:rsid w:val="58A43A1C"/>
    <w:rsid w:val="60012432"/>
    <w:rsid w:val="643C1163"/>
    <w:rsid w:val="64D6412D"/>
    <w:rsid w:val="67AE00D1"/>
    <w:rsid w:val="73BC4773"/>
    <w:rsid w:val="740524E7"/>
    <w:rsid w:val="78CB0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849</Words>
  <Characters>939</Characters>
  <Lines>0</Lines>
  <Paragraphs>0</Paragraphs>
  <TotalTime>9</TotalTime>
  <ScaleCrop>false</ScaleCrop>
  <LinksUpToDate>false</LinksUpToDate>
  <CharactersWithSpaces>985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2025-02-14T08:34:00Z</dcterms:created>
  <dc:creator>Administrator</dc:creator>
  <cp:lastModifiedBy>子砚</cp:lastModifiedBy>
  <cp:lastPrinted>2026-02-25T03:31:00Z</cp:lastPrinted>
  <dcterms:modified xsi:type="dcterms:W3CDTF">2026-02-26T03:24:44Z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eyJoZGlkIjoiZTMyYjdmZDg3OTRjY2E5NjI3ZTIwNmM2N2MxOWFmOGQiLCJ1c2VySWQiOiI1NDExMjg3NzgifQ==</vt:lpwstr>
  </property>
  <property fmtid="{D5CDD505-2E9C-101B-9397-08002B2CF9AE}" pid="4" name="ICV">
    <vt:lpwstr>D9F18896F7FB4986A36407ED6D7B9408_13</vt:lpwstr>
  </property>
</Properties>
</file>